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6122670" cy="10033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 momentos de la cultura pop que le dan voz </w:t>
        <w:br w:type="textWrapping"/>
        <w:t xml:space="preserve">al feminismo hoy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Cada vez, hay más ejemplos que demuestran que el empoderamiento femenino sigue ganando terreno: desde el hecho de que las mujeres no temen tomar el control de su vida amorosa gracias a la popularidad de las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dating apps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(de hecho,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54% de los usuarios en plataformas como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son chicas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 hasta en el tipo de historia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vemos en la cultura pop.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feminismo está mostrando su mejor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gracias a mujeres y hombres que ponen el ejemplo y dejan claro de qué se trata ser feminista hoy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aseguró Rocío Cardosa, Project Manager de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Para demostrarlo, estos son cuatro momentos clave en los últimos años que le dan voz al feminismo.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b w:val="1"/>
          <w:i w:val="1"/>
          <w:color w:val="12121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21212"/>
          <w:sz w:val="22"/>
          <w:szCs w:val="22"/>
          <w:rtl w:val="0"/>
        </w:rPr>
        <w:t xml:space="preserve">#MeToo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que comenzó como un escándalo que involucraba a algunos de los nombres hollywoodenses más grandes, se convirtió en un movimiento que inspiró a miles a alzar la voz contra el acoso sexual. Su principal contribución es que permitió a muchas personas (mujeres y hombres) abrirse, evitando que,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por su género o miedo, el silencio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fuera la única opción.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b w:val="1"/>
          <w:color w:val="12121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2"/>
          <w:szCs w:val="22"/>
          <w:rtl w:val="0"/>
        </w:rPr>
        <w:t xml:space="preserve">Cine y TV más femenino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Además de los inspiradores discursos de actrices como Viola Davis y Meryl Streep, los cinco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Emmy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la serie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Handmaid’s Tale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obtuvo o las nominaciones de escritoras y cineastas como Greta Gerwig, en los últimos años, las mujeres han demostrado que son una fuerza que se debe tomar en serio.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ejemplo claro está en cómo la directora Patty Jenkins 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Wonder Woman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rompieron récords que ni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Superman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había podido superar. A la fecha, es la segunda película de origen de un superhéroe más taquillera. 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 artistas principales de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Coachella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ste festival en Indio, California, ha marcado tendencia desde hace casi dos décadas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pero sólo tres mujeres solistas se han impuesto en su escenario principal: Björk, Lady Gaga y Beyoncé (las últimas dos a penas en 2017 y 2018, respectivamente). No es coincidencia que sean figuras de la lucha por la equidad y pongan el ejemplo a miles de melómanas.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color w:val="333333"/>
          <w:sz w:val="21"/>
          <w:szCs w:val="21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both"/>
        <w:rPr>
          <w:rFonts w:ascii="Arial" w:cs="Arial" w:eastAsia="Arial" w:hAnsi="Arial"/>
          <w:b w:val="1"/>
          <w:i w:val="1"/>
          <w:color w:val="12121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21212"/>
          <w:sz w:val="22"/>
          <w:szCs w:val="22"/>
          <w:rtl w:val="0"/>
        </w:rPr>
        <w:t xml:space="preserve">#HeForShe</w:t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Esta campaña de ONU Mujeres se convirtió en una tendencia global cuando la actriz Emma Watson pronunció un discurso que para muchos abrió una nueva perspectiva sobre el feminismo: “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igualdad de género también es un problema de ustedes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”. Éste se convirtió en una carta abierta  para hombres, mujeres y personas de toda identidad de género para luchar por tener las mismas oportunidades y cambiar nuestra forma de ver la problemática de la falta de equidad. Después de esto, Emma se convirtió en todo un modelo a seguir de la feminista moderna. 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</w:t>
      </w:r>
      <w:hyperlink r:id="rId9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Fundada por los emprendedores franceses Manuel Conejo y Florent Steiner, AdoptaUnMan ha seducido ya a más de 18.5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septiembre de 2013.</w:t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jc w:val="both"/>
        <w:rPr>
          <w:rFonts w:ascii="Cambria" w:cs="Cambria" w:eastAsia="Cambria" w:hAnsi="Cambri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Facebook:</w:t>
      </w: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Twitter:</w:t>
      </w:r>
      <w:hyperlink r:id="rId12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Instagram:</w:t>
      </w:r>
      <w:hyperlink r:id="rId13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sectPr>
      <w:headerReference r:id="rId14" w:type="default"/>
      <w:pgSz w:h="16838" w:w="11906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9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doptaUnMan/" TargetMode="External"/><Relationship Id="rId10" Type="http://schemas.openxmlformats.org/officeDocument/2006/relationships/hyperlink" Target="https://www.adoptaunman.com/" TargetMode="External"/><Relationship Id="rId13" Type="http://schemas.openxmlformats.org/officeDocument/2006/relationships/hyperlink" Target="https://www.instagram.com/adoptaunman/" TargetMode="External"/><Relationship Id="rId12" Type="http://schemas.openxmlformats.org/officeDocument/2006/relationships/hyperlink" Target="https://twitter.com/adoptaunman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ptaunman.com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doptaunman.com/" TargetMode="External"/><Relationship Id="rId8" Type="http://schemas.openxmlformats.org/officeDocument/2006/relationships/hyperlink" Target="https://www.adoptaun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